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EE" w:rsidRDefault="0048785D" w:rsidP="001C1FC6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FC6">
        <w:rPr>
          <w:rFonts w:ascii="Times New Roman" w:hAnsi="Times New Roman" w:cs="Times New Roman"/>
          <w:b/>
          <w:sz w:val="24"/>
          <w:szCs w:val="24"/>
        </w:rPr>
        <w:t>Результаты исследования сетевых архитектур коллективной проектно-исследовательской деятельности учащихся в цифровой образовательной среде</w:t>
      </w:r>
    </w:p>
    <w:p w:rsidR="001C1FC6" w:rsidRPr="00C941CB" w:rsidRDefault="00C941CB" w:rsidP="00C941C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941CB">
        <w:rPr>
          <w:rFonts w:ascii="Times New Roman" w:hAnsi="Times New Roman" w:cs="Times New Roman"/>
          <w:b/>
          <w:sz w:val="24"/>
          <w:szCs w:val="24"/>
        </w:rPr>
        <w:t>оект № 19-29-14172</w:t>
      </w:r>
    </w:p>
    <w:p w:rsidR="00C941CB" w:rsidRPr="0048785D" w:rsidRDefault="00C941CB" w:rsidP="00C941C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цифровой образовательной среды – это важный шаг в переходе с этапа строительства сетевой инфраструктуры для российских школ к этапу формирования жизнеспособной экосистемы образования. </w:t>
      </w:r>
    </w:p>
    <w:p w:rsidR="00C941CB" w:rsidRPr="00C941CB" w:rsidRDefault="00C941CB" w:rsidP="00C941C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CB">
        <w:rPr>
          <w:rFonts w:ascii="Times New Roman" w:hAnsi="Times New Roman" w:cs="Times New Roman"/>
          <w:sz w:val="24"/>
          <w:szCs w:val="24"/>
        </w:rPr>
        <w:t>Сегодня и руководители государств, и предприниматели осознают, что архимедовым рычагом в современном обществе становятся технологии формализации и распространения профессиональных знаний. Ответственность, возлагаемая на школу обществом, возрастает. Вне зависимости от технической конъюнктуры технологии добычи знаний будут составлять все большую долю содержания учебных программ как среднего, так и высшего образования.</w:t>
      </w:r>
    </w:p>
    <w:p w:rsidR="00C941CB" w:rsidRPr="00C941CB" w:rsidRDefault="00C941CB" w:rsidP="00C941C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Появляющиеся в последние годы </w:t>
      </w:r>
      <w:r w:rsidRPr="00C941CB">
        <w:rPr>
          <w:rFonts w:ascii="Times New Roman" w:hAnsi="Times New Roman" w:cs="Times New Roman"/>
          <w:sz w:val="24"/>
          <w:szCs w:val="24"/>
        </w:rPr>
        <w:t xml:space="preserve">виртуальные профессиональные сообщества </w:t>
      </w:r>
      <w:r>
        <w:rPr>
          <w:rFonts w:ascii="Times New Roman" w:hAnsi="Times New Roman" w:cs="Times New Roman"/>
          <w:sz w:val="24"/>
          <w:szCs w:val="24"/>
        </w:rPr>
        <w:t>(ВПС) в среднем образовании п</w:t>
      </w:r>
      <w:r w:rsidRPr="00C941CB">
        <w:rPr>
          <w:rFonts w:ascii="Times New Roman" w:hAnsi="Times New Roman" w:cs="Times New Roman"/>
          <w:sz w:val="24"/>
          <w:szCs w:val="24"/>
        </w:rPr>
        <w:t xml:space="preserve">озволяют </w:t>
      </w:r>
      <w:r>
        <w:rPr>
          <w:rFonts w:ascii="Times New Roman" w:hAnsi="Times New Roman" w:cs="Times New Roman"/>
          <w:sz w:val="24"/>
          <w:szCs w:val="24"/>
        </w:rPr>
        <w:t>учителям</w:t>
      </w:r>
      <w:r w:rsidRPr="00C941C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внешним </w:t>
      </w:r>
      <w:r w:rsidRPr="00C941CB">
        <w:rPr>
          <w:rFonts w:ascii="Times New Roman" w:hAnsi="Times New Roman" w:cs="Times New Roman"/>
          <w:sz w:val="24"/>
          <w:szCs w:val="24"/>
        </w:rPr>
        <w:t>экспертам работать, с одной стороны, индивидуально, и, с другой стороны, одновременно с группами обучаемых.</w:t>
      </w:r>
      <w:r>
        <w:rPr>
          <w:rFonts w:ascii="Times New Roman" w:hAnsi="Times New Roman" w:cs="Times New Roman"/>
          <w:sz w:val="24"/>
          <w:szCs w:val="24"/>
        </w:rPr>
        <w:t xml:space="preserve"> Такой синтез наиболее естественным образом происходит при использовании в ВПС организационной модели конкурсов.</w:t>
      </w:r>
    </w:p>
    <w:p w:rsidR="0048785D" w:rsidRPr="0048785D" w:rsidRDefault="0048785D" w:rsidP="0048785D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Задача обеспечения эффективности средств ИКТ-поддержки </w:t>
      </w:r>
      <w:r w:rsidR="001C1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исследовательской и 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проектной деятельности </w:t>
      </w:r>
      <w:r w:rsidR="00B64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ВПС 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привлекает внимание 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ученых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Так, </w:t>
      </w:r>
      <w:r w:rsidR="00F26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анализе понятия </w:t>
      </w:r>
      <w:r w:rsidRPr="0048785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познавательны</w:t>
      </w:r>
      <w:r w:rsidR="00F264D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х</w:t>
      </w:r>
      <w:r w:rsidRPr="0048785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модел</w:t>
      </w:r>
      <w:r w:rsidR="00F264D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ей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26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(«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набор приемов и утверждений, которые …настолько наглядны и самоочевидны, что через них принято объяснять … все остальные факты и понятия»</w:t>
      </w:r>
      <w:r w:rsidR="00F26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становится очевидной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26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их 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ключевая роль для формирования либо совокупности понятий той или иной образовательной области (набор утверждений, теорий и т.д.), либо модели учебного процесса (приемы рассуждений, методы контроля усвоения материала и т.д.). </w:t>
      </w:r>
    </w:p>
    <w:p w:rsidR="0048785D" w:rsidRPr="0048785D" w:rsidRDefault="00F264D4" w:rsidP="0048785D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8785D"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истории науки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различают </w:t>
      </w:r>
      <w:r w:rsidR="0048785D"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пять познавательных моделей:</w:t>
      </w:r>
    </w:p>
    <w:p w:rsidR="0048785D" w:rsidRPr="0048785D" w:rsidRDefault="0048785D" w:rsidP="0048785D">
      <w:pPr>
        <w:numPr>
          <w:ilvl w:val="0"/>
          <w:numId w:val="1"/>
        </w:num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85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Этико-эстетическая модель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основанная на эмоциональном типе восприятия;</w:t>
      </w:r>
    </w:p>
    <w:p w:rsidR="0048785D" w:rsidRPr="0048785D" w:rsidRDefault="0048785D" w:rsidP="0048785D">
      <w:pPr>
        <w:numPr>
          <w:ilvl w:val="0"/>
          <w:numId w:val="1"/>
        </w:num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85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Семиотическая модель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основанная на понятии закона природы и идее математизации процессов научного познания мира;</w:t>
      </w:r>
    </w:p>
    <w:p w:rsidR="0048785D" w:rsidRPr="0048785D" w:rsidRDefault="0048785D" w:rsidP="0048785D">
      <w:pPr>
        <w:numPr>
          <w:ilvl w:val="0"/>
          <w:numId w:val="1"/>
        </w:num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85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Механическая модель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основанная на принципе причинности и идеях биологической (а также социальной) эволюции;</w:t>
      </w:r>
    </w:p>
    <w:p w:rsidR="0048785D" w:rsidRPr="0048785D" w:rsidRDefault="0048785D" w:rsidP="0048785D">
      <w:pPr>
        <w:numPr>
          <w:ilvl w:val="0"/>
          <w:numId w:val="1"/>
        </w:num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85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Статистическая модель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основанная на картине мира как совокупности балансов и инвариантов;</w:t>
      </w:r>
    </w:p>
    <w:p w:rsidR="0048785D" w:rsidRPr="0048785D" w:rsidRDefault="0048785D" w:rsidP="0048785D">
      <w:pPr>
        <w:numPr>
          <w:ilvl w:val="0"/>
          <w:numId w:val="1"/>
        </w:num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85D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Системная модель</w:t>
      </w: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основанная на картине мира как целостного организма и развивающая две ключевые идеи кибернетики – оптимальности и самоорганизации.</w:t>
      </w:r>
    </w:p>
    <w:p w:rsidR="0048785D" w:rsidRPr="0048785D" w:rsidRDefault="0048785D" w:rsidP="0048785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85D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48785D">
        <w:rPr>
          <w:rFonts w:ascii="Times New Roman" w:hAnsi="Times New Roman" w:cs="Times New Roman"/>
          <w:sz w:val="24"/>
          <w:szCs w:val="24"/>
        </w:rPr>
        <w:t xml:space="preserve">высказать предположение, что именно в условиях </w:t>
      </w:r>
      <w:r w:rsidRPr="0048785D">
        <w:rPr>
          <w:rFonts w:ascii="Times New Roman" w:hAnsi="Times New Roman" w:cs="Times New Roman"/>
          <w:sz w:val="24"/>
          <w:szCs w:val="24"/>
        </w:rPr>
        <w:t xml:space="preserve">исследовательской и </w:t>
      </w:r>
      <w:r w:rsidRPr="0048785D">
        <w:rPr>
          <w:rFonts w:ascii="Times New Roman" w:hAnsi="Times New Roman" w:cs="Times New Roman"/>
          <w:sz w:val="24"/>
          <w:szCs w:val="24"/>
        </w:rPr>
        <w:t>проектной деятельности старшеклассников возникают условия для синтеза трех из пяти моделей:</w:t>
      </w:r>
    </w:p>
    <w:p w:rsidR="0048785D" w:rsidRPr="0048785D" w:rsidRDefault="0048785D" w:rsidP="0048785D">
      <w:pPr>
        <w:numPr>
          <w:ilvl w:val="0"/>
          <w:numId w:val="2"/>
        </w:num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48785D">
        <w:rPr>
          <w:rFonts w:ascii="Times New Roman" w:hAnsi="Times New Roman" w:cs="Times New Roman"/>
        </w:rPr>
        <w:t>этико-эстетической («мы стремимся к завершенности и стройности результата»);</w:t>
      </w:r>
    </w:p>
    <w:p w:rsidR="0048785D" w:rsidRPr="0048785D" w:rsidRDefault="0048785D" w:rsidP="0048785D">
      <w:pPr>
        <w:numPr>
          <w:ilvl w:val="0"/>
          <w:numId w:val="2"/>
        </w:num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48785D">
        <w:rPr>
          <w:rFonts w:ascii="Times New Roman" w:hAnsi="Times New Roman" w:cs="Times New Roman"/>
        </w:rPr>
        <w:t>семиотической («мы учимся анализировать мир, применяя различные знаковые системы»;</w:t>
      </w:r>
    </w:p>
    <w:p w:rsidR="0048785D" w:rsidRPr="0048785D" w:rsidRDefault="0048785D" w:rsidP="0048785D">
      <w:pPr>
        <w:numPr>
          <w:ilvl w:val="0"/>
          <w:numId w:val="2"/>
        </w:num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48785D">
        <w:rPr>
          <w:rFonts w:ascii="Times New Roman" w:hAnsi="Times New Roman" w:cs="Times New Roman"/>
        </w:rPr>
        <w:t>механической («мы учимся управлять цепочками причин и следствий»).</w:t>
      </w:r>
    </w:p>
    <w:p w:rsidR="0048785D" w:rsidRPr="0048785D" w:rsidRDefault="0048785D" w:rsidP="0048785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85D">
        <w:rPr>
          <w:rFonts w:ascii="Times New Roman" w:hAnsi="Times New Roman" w:cs="Times New Roman"/>
          <w:sz w:val="24"/>
          <w:szCs w:val="24"/>
        </w:rPr>
        <w:t>Умение работать с четвертой и пятой моделями придет позже, в университете.</w:t>
      </w:r>
    </w:p>
    <w:p w:rsidR="00B64339" w:rsidRPr="00B64339" w:rsidRDefault="00B64339" w:rsidP="00B64339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4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Сегодня можно с уверенностью утверждать, что инвариантами развития информационных и коммуникационных технологий являются три ключевых направления:</w:t>
      </w:r>
    </w:p>
    <w:p w:rsidR="00B64339" w:rsidRPr="00B64339" w:rsidRDefault="00B64339" w:rsidP="00B64339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4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технологии алгоритмизации и проектирования программ </w:t>
      </w:r>
    </w:p>
    <w:p w:rsidR="00B64339" w:rsidRPr="00B64339" w:rsidRDefault="00B64339" w:rsidP="00B64339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4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технологии виртуализации рабочих сред и интеграции разнородных потоков данных (мультимедиа) </w:t>
      </w:r>
    </w:p>
    <w:p w:rsidR="00B64339" w:rsidRDefault="00B64339" w:rsidP="00B64339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4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технологии создания и эксплуатации информационных систем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условиях цифровой трансформации экономики</w:t>
      </w:r>
      <w:r w:rsidRPr="00B643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8785D" w:rsidRDefault="0048785D" w:rsidP="0048785D">
      <w:pPr>
        <w:spacing w:after="12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 помочь старшеклассникам разобраться в спектре профессий, определяющих облик XXI века, когда решающее значение приобретает социальная и профессиональная мобильность личности. Прежде всего, речь здесь идет о формировании коммуникативной культуры как важнейшего компонента образования. </w:t>
      </w:r>
    </w:p>
    <w:p w:rsidR="00F264D4" w:rsidRPr="0048785D" w:rsidRDefault="00F264D4" w:rsidP="00F264D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коллективных исследований в среде виртуальных коммуникаций настолько разнообразны, что в дискуссиях всё чаще обращаются к истокам, к опыту философских школ древности. </w:t>
      </w:r>
      <w:r w:rsidRPr="00D875F5">
        <w:rPr>
          <w:rFonts w:ascii="Times New Roman" w:hAnsi="Times New Roman" w:cs="Times New Roman"/>
          <w:sz w:val="24"/>
          <w:szCs w:val="24"/>
        </w:rPr>
        <w:t xml:space="preserve">Логика рассуждений Сократа, богатейший инструментарий силлогизмов, парадоксов и метафор, не оставались, как сказали бы нынче, интеллектуальной собственностью великого Учителя. Каждый ученик забирал себе столько Сократовой мудрости, сколько хотел и мог унести; но при этом ученики Сократа понимали, что знания, методы и приемы в рассуждениях Учителя не просто тиражируются раз за </w:t>
      </w:r>
      <w:r w:rsidRPr="00D875F5">
        <w:rPr>
          <w:rFonts w:ascii="Times New Roman" w:hAnsi="Times New Roman" w:cs="Times New Roman"/>
          <w:sz w:val="24"/>
          <w:szCs w:val="24"/>
        </w:rPr>
        <w:lastRenderedPageBreak/>
        <w:t>разом, а умножаются с их участием. Пифагор и Евклид подчеркивали, что рисунок, схема или чертеж стимулируют воображение и интуицию; сегодня математики исследуют возможности визуализации наиболее абстрактных понятий, а пользователи компьютерных программ могут изучать свойства необычайных математических объектов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4D4" w:rsidRPr="00FE0109" w:rsidRDefault="0048785D" w:rsidP="00FE010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Предложенная и реализуемая в </w:t>
      </w:r>
      <w:r w:rsidR="001A39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профильном образовании </w:t>
      </w:r>
      <w:r w:rsidR="00B643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конкурсная </w:t>
      </w:r>
      <w:bookmarkStart w:id="0" w:name="_GoBack"/>
      <w:bookmarkEnd w:id="0"/>
      <w:r w:rsidRPr="00487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модель учебного процесса ориентируется именно на такое представление о форме и содержании начального, наиболее важного этапа процесса непрерывного образования в области информационных технологий.</w:t>
      </w:r>
    </w:p>
    <w:sectPr w:rsidR="00F264D4" w:rsidRPr="00FE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5D" w:rsidRDefault="0048785D" w:rsidP="0048785D">
      <w:pPr>
        <w:spacing w:after="0" w:line="240" w:lineRule="auto"/>
      </w:pPr>
      <w:r>
        <w:separator/>
      </w:r>
    </w:p>
  </w:endnote>
  <w:endnote w:type="continuationSeparator" w:id="0">
    <w:p w:rsidR="0048785D" w:rsidRDefault="0048785D" w:rsidP="0048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5D" w:rsidRDefault="0048785D" w:rsidP="0048785D">
      <w:pPr>
        <w:spacing w:after="0" w:line="240" w:lineRule="auto"/>
      </w:pPr>
      <w:r>
        <w:separator/>
      </w:r>
    </w:p>
  </w:footnote>
  <w:footnote w:type="continuationSeparator" w:id="0">
    <w:p w:rsidR="0048785D" w:rsidRDefault="0048785D" w:rsidP="0048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959"/>
    <w:multiLevelType w:val="hybridMultilevel"/>
    <w:tmpl w:val="8D8EF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34332"/>
    <w:multiLevelType w:val="hybridMultilevel"/>
    <w:tmpl w:val="50EA73C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5D"/>
    <w:rsid w:val="001A39F1"/>
    <w:rsid w:val="001C1FC6"/>
    <w:rsid w:val="0030412D"/>
    <w:rsid w:val="00422C36"/>
    <w:rsid w:val="0048785D"/>
    <w:rsid w:val="00663DAA"/>
    <w:rsid w:val="00B64339"/>
    <w:rsid w:val="00C941CB"/>
    <w:rsid w:val="00D875F5"/>
    <w:rsid w:val="00F264D4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E87E"/>
  <w15:chartTrackingRefBased/>
  <w15:docId w15:val="{B957606E-4E4E-416C-A869-BCB952E8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8785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8785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487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Гиглавый</dc:creator>
  <cp:keywords/>
  <dc:description/>
  <cp:lastModifiedBy>Александр Гиглавый</cp:lastModifiedBy>
  <cp:revision>3</cp:revision>
  <dcterms:created xsi:type="dcterms:W3CDTF">2023-05-17T11:21:00Z</dcterms:created>
  <dcterms:modified xsi:type="dcterms:W3CDTF">2023-05-17T12:59:00Z</dcterms:modified>
</cp:coreProperties>
</file>